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120" w:before="120" w:line="276" w:lineRule="auto"/>
        <w:ind w:left="567" w:hanging="56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1"/>
        </w:numPr>
        <w:tabs>
          <w:tab w:val="left" w:leader="none" w:pos="1134"/>
        </w:tabs>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this Call-Off Schedule, the following words shall have the following meanings and they shall supplement Joint Schedule 1 (Definitions):</w:t>
      </w:r>
    </w:p>
    <w:tbl>
      <w:tblPr>
        <w:tblStyle w:val="Table1"/>
        <w:tblpPr w:leftFromText="180" w:rightFromText="180" w:topFromText="0" w:bottomFromText="0" w:vertAnchor="text" w:horzAnchor="text" w:tblpX="503.9999999999998" w:tblpY="168"/>
        <w:tblW w:w="801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spacing w:after="12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6">
            <w:pPr>
              <w:spacing w:after="120" w:before="12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His Majesty's Ships or Vessels and Service Stations;</w:t>
            </w:r>
          </w:p>
        </w:tc>
      </w:tr>
      <w:tr>
        <w:trPr>
          <w:cantSplit w:val="0"/>
          <w:tblHeader w:val="0"/>
        </w:trPr>
        <w:tc>
          <w:tcPr/>
          <w:p w:rsidR="00000000" w:rsidDel="00000000" w:rsidP="00000000" w:rsidRDefault="00000000" w:rsidRPr="00000000" w14:paraId="00000007">
            <w:pPr>
              <w:spacing w:after="12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8">
            <w:pPr>
              <w:spacing w:after="120" w:before="120" w:line="276"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9">
      <w:pPr>
        <w:keepNext w:val="1"/>
        <w:numPr>
          <w:ilvl w:val="0"/>
          <w:numId w:val="1"/>
        </w:numPr>
        <w:pBdr>
          <w:top w:space="0" w:sz="0" w:val="nil"/>
          <w:left w:space="0" w:sz="0" w:val="nil"/>
          <w:bottom w:space="0" w:sz="0" w:val="nil"/>
          <w:right w:space="0" w:sz="0" w:val="nil"/>
          <w:between w:space="0" w:sz="0" w:val="nil"/>
        </w:pBdr>
        <w:spacing w:after="120" w:before="120" w:line="276" w:lineRule="auto"/>
        <w:ind w:left="567" w:hanging="56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Access to MOD sites</w:t>
      </w:r>
    </w:p>
    <w:p w:rsidR="00000000" w:rsidDel="00000000" w:rsidP="00000000" w:rsidRDefault="00000000" w:rsidRPr="00000000" w14:paraId="0000000A">
      <w:pPr>
        <w:numPr>
          <w:ilvl w:val="1"/>
          <w:numId w:val="1"/>
        </w:numPr>
        <w:tabs>
          <w:tab w:val="left" w:leader="none" w:pos="1134"/>
        </w:tabs>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B">
      <w:pPr>
        <w:numPr>
          <w:ilvl w:val="1"/>
          <w:numId w:val="1"/>
        </w:numPr>
        <w:tabs>
          <w:tab w:val="left" w:leader="none" w:pos="1134"/>
        </w:tabs>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0C">
      <w:pPr>
        <w:numPr>
          <w:ilvl w:val="1"/>
          <w:numId w:val="1"/>
        </w:numPr>
        <w:tabs>
          <w:tab w:val="left" w:leader="none" w:pos="1134"/>
        </w:tabs>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0D">
      <w:pPr>
        <w:numPr>
          <w:ilvl w:val="1"/>
          <w:numId w:val="1"/>
        </w:numPr>
        <w:tabs>
          <w:tab w:val="left" w:leader="none" w:pos="1134"/>
        </w:tabs>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0E">
      <w:pPr>
        <w:numPr>
          <w:ilvl w:val="1"/>
          <w:numId w:val="1"/>
        </w:numPr>
        <w:tabs>
          <w:tab w:val="left" w:leader="none" w:pos="1134"/>
        </w:tabs>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0F">
      <w:pPr>
        <w:numPr>
          <w:ilvl w:val="1"/>
          <w:numId w:val="1"/>
        </w:numPr>
        <w:tabs>
          <w:tab w:val="left" w:leader="none" w:pos="1134"/>
        </w:tabs>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0">
      <w:pPr>
        <w:numPr>
          <w:ilvl w:val="1"/>
          <w:numId w:val="1"/>
        </w:numPr>
        <w:tabs>
          <w:tab w:val="left" w:leader="none" w:pos="1134"/>
        </w:tabs>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1">
      <w:pPr>
        <w:numPr>
          <w:ilvl w:val="1"/>
          <w:numId w:val="1"/>
        </w:numPr>
        <w:tabs>
          <w:tab w:val="left" w:leader="none" w:pos="1134"/>
        </w:tabs>
        <w:spacing w:after="120" w:before="120" w:line="276"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2">
      <w:pPr>
        <w:keepNext w:val="1"/>
        <w:numPr>
          <w:ilvl w:val="0"/>
          <w:numId w:val="1"/>
        </w:numPr>
        <w:pBdr>
          <w:top w:space="0" w:sz="0" w:val="nil"/>
          <w:left w:space="0" w:sz="0" w:val="nil"/>
          <w:bottom w:space="0" w:sz="0" w:val="nil"/>
          <w:right w:space="0" w:sz="0" w:val="nil"/>
          <w:between w:space="0" w:sz="0" w:val="nil"/>
        </w:pBdr>
        <w:spacing w:after="120" w:before="120" w:line="276" w:lineRule="auto"/>
        <w:ind w:left="567"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DEFCONS </w:t>
      </w:r>
      <w:r w:rsidDel="00000000" w:rsidR="00000000" w:rsidRPr="00000000">
        <w:rPr>
          <w:rFonts w:ascii="Arial" w:cs="Arial" w:eastAsia="Arial" w:hAnsi="Arial"/>
          <w:b w:val="1"/>
          <w:color w:val="000000"/>
          <w:sz w:val="24"/>
          <w:szCs w:val="24"/>
          <w:rtl w:val="0"/>
        </w:rPr>
        <w:t xml:space="preserve">and</w:t>
      </w:r>
      <w:r w:rsidDel="00000000" w:rsidR="00000000" w:rsidRPr="00000000">
        <w:rPr>
          <w:rFonts w:ascii="Arial" w:cs="Arial" w:eastAsia="Arial" w:hAnsi="Arial"/>
          <w:b w:val="1"/>
          <w:sz w:val="24"/>
          <w:szCs w:val="24"/>
          <w:rtl w:val="0"/>
        </w:rPr>
        <w:t xml:space="preserve"> DEFFORMS</w:t>
      </w:r>
    </w:p>
    <w:p w:rsidR="00000000" w:rsidDel="00000000" w:rsidP="00000000" w:rsidRDefault="00000000" w:rsidRPr="00000000" w14:paraId="00000013">
      <w:pPr>
        <w:pStyle w:val="Heading2"/>
        <w:numPr>
          <w:ilvl w:val="1"/>
          <w:numId w:val="1"/>
        </w:numPr>
        <w:spacing w:after="120" w:before="120" w:line="276" w:lineRule="auto"/>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Call-Off Schedule are incorporated into this Contract.  </w:t>
      </w:r>
    </w:p>
    <w:p w:rsidR="00000000" w:rsidDel="00000000" w:rsidP="00000000" w:rsidRDefault="00000000" w:rsidRPr="00000000" w14:paraId="00000014">
      <w:pPr>
        <w:pStyle w:val="Heading2"/>
        <w:numPr>
          <w:ilvl w:val="1"/>
          <w:numId w:val="1"/>
        </w:numPr>
        <w:spacing w:after="120" w:before="120" w:line="276" w:lineRule="auto"/>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5">
      <w:pPr>
        <w:pStyle w:val="Heading2"/>
        <w:numPr>
          <w:ilvl w:val="1"/>
          <w:numId w:val="1"/>
        </w:numPr>
        <w:spacing w:after="120" w:before="120" w:line="276" w:lineRule="auto"/>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spacing w:after="120" w:before="120" w:line="276" w:lineRule="auto"/>
        <w:ind w:left="567"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Authorisation by </w:t>
      </w:r>
      <w:r w:rsidDel="00000000" w:rsidR="00000000" w:rsidRPr="00000000">
        <w:rPr>
          <w:rFonts w:ascii="Arial" w:cs="Arial" w:eastAsia="Arial" w:hAnsi="Arial"/>
          <w:b w:val="1"/>
          <w:color w:val="000000"/>
          <w:sz w:val="24"/>
          <w:szCs w:val="24"/>
          <w:rtl w:val="0"/>
        </w:rPr>
        <w:t xml:space="preserve">the</w:t>
      </w:r>
      <w:r w:rsidDel="00000000" w:rsidR="00000000" w:rsidRPr="00000000">
        <w:rPr>
          <w:rFonts w:ascii="Arial" w:cs="Arial" w:eastAsia="Arial" w:hAnsi="Arial"/>
          <w:b w:val="1"/>
          <w:sz w:val="24"/>
          <w:szCs w:val="24"/>
          <w:rtl w:val="0"/>
        </w:rPr>
        <w:t xml:space="preserve"> Crown for use of third party intellectual property rights</w:t>
      </w:r>
    </w:p>
    <w:p w:rsidR="00000000" w:rsidDel="00000000" w:rsidP="00000000" w:rsidRDefault="00000000" w:rsidRPr="00000000" w14:paraId="00000017">
      <w:pPr>
        <w:pStyle w:val="Heading2"/>
        <w:numPr>
          <w:ilvl w:val="1"/>
          <w:numId w:val="1"/>
        </w:numPr>
        <w:spacing w:after="120" w:before="120" w:line="276" w:lineRule="auto"/>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8">
      <w:pPr>
        <w:spacing w:after="120" w:before="120" w:line="276" w:lineRule="auto"/>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9">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A">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6">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D">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1E">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0">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2">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5">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6">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A">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B">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C">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D">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E">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0">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1">
      <w:pPr>
        <w:rPr>
          <w:rFonts w:ascii="Arial" w:cs="Arial" w:eastAsia="Arial" w:hAnsi="Arial"/>
          <w:color w:val="000000"/>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v3.1</w:t>
    </w:r>
  </w:p>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t xml:space="preserve">78264703.4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78264703.4</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Model Version : v2.9</w:t>
      <w:tab/>
      <w:tab/>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78264703.4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2 (MOD Terms) </w:t>
    </w: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5">
    <w:pPr>
      <w:spacing w:after="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gov.uk/guidance/knowledge-in-defence-kid"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